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64" w:rsidRDefault="008E13B3" w:rsidP="00DD2264">
      <w:pPr>
        <w:pStyle w:val="1"/>
        <w:shd w:val="clear" w:color="auto" w:fill="FFFFFF"/>
        <w:spacing w:before="600" w:beforeAutospacing="0" w:after="0" w:afterAutospacing="0" w:line="450" w:lineRule="atLeast"/>
        <w:jc w:val="center"/>
        <w:rPr>
          <w:rFonts w:ascii="微软雅黑" w:eastAsia="微软雅黑" w:hAnsi="微软雅黑"/>
          <w:color w:val="191717"/>
          <w:sz w:val="36"/>
          <w:szCs w:val="36"/>
        </w:rPr>
      </w:pPr>
      <w:bookmarkStart w:id="0" w:name="医疗事故技术鉴定专家组抽签程序"/>
      <w:r>
        <w:rPr>
          <w:rFonts w:ascii="微软雅黑" w:eastAsia="微软雅黑" w:hAnsi="微软雅黑" w:hint="eastAsia"/>
          <w:color w:val="191717"/>
          <w:sz w:val="36"/>
          <w:szCs w:val="36"/>
        </w:rPr>
        <w:t>抽取</w:t>
      </w:r>
      <w:r w:rsidR="005B4BF2">
        <w:rPr>
          <w:rFonts w:ascii="微软雅黑" w:eastAsia="微软雅黑" w:hAnsi="微软雅黑" w:hint="eastAsia"/>
          <w:color w:val="191717"/>
          <w:sz w:val="36"/>
          <w:szCs w:val="36"/>
        </w:rPr>
        <w:t>职业病诊断鉴定</w:t>
      </w:r>
      <w:r w:rsidR="00DD2264">
        <w:rPr>
          <w:rFonts w:ascii="微软雅黑" w:eastAsia="微软雅黑" w:hAnsi="微软雅黑" w:hint="eastAsia"/>
          <w:color w:val="191717"/>
          <w:sz w:val="36"/>
          <w:szCs w:val="36"/>
        </w:rPr>
        <w:t>专家程序</w:t>
      </w:r>
      <w:bookmarkEnd w:id="0"/>
      <w:r w:rsidR="005B4BF2">
        <w:rPr>
          <w:rFonts w:ascii="微软雅黑" w:eastAsia="微软雅黑" w:hAnsi="微软雅黑" w:hint="eastAsia"/>
          <w:color w:val="191717"/>
          <w:sz w:val="36"/>
          <w:szCs w:val="36"/>
        </w:rPr>
        <w:t xml:space="preserve"> </w:t>
      </w:r>
    </w:p>
    <w:p w:rsidR="0025442E" w:rsidRDefault="0025442E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</w:p>
    <w:p w:rsidR="0025442E" w:rsidRDefault="0025442E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按照《职业病诊断与鉴定管理办法》，</w:t>
      </w:r>
      <w:r w:rsidR="005B4BF2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职业病诊断鉴定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专家组</w:t>
      </w:r>
      <w:r w:rsidR="005B4BF2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成员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由</w:t>
      </w:r>
      <w:r w:rsidR="005B4BF2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职业病诊断鉴定委员会办公室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组织</w:t>
      </w:r>
      <w:r w:rsidR="005B4BF2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劳动者和用人单位或由其委托的职业病诊断鉴定</w:t>
      </w:r>
      <w:r w:rsidR="00552497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委员会办公室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在</w:t>
      </w:r>
      <w:r w:rsidR="005B4BF2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云南省职业病诊断鉴定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专家库的相关专业中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随机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抽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取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产生，专家组组成人数为</w:t>
      </w:r>
      <w:r w:rsidR="005B4BF2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人以上单数，</w:t>
      </w:r>
      <w:r w:rsidR="005B4BF2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疑难病例根据实际情况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适当</w:t>
      </w:r>
      <w:r w:rsidR="005B4BF2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增加专家人数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。</w:t>
      </w:r>
      <w:r w:rsidR="004C201A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随机抽取鉴定专家的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具体</w:t>
      </w:r>
      <w:r w:rsidR="00FA27C3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流程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如下：</w:t>
      </w:r>
    </w:p>
    <w:p w:rsidR="0025442E" w:rsidRDefault="00471285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一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、由</w:t>
      </w:r>
      <w:r w:rsidR="005B4BF2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职业病诊断鉴定委员会办公室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主持抽签人员将相关学科专业全部专家姓名、专业职务、工作单位告知双方当事人</w:t>
      </w:r>
      <w:r w:rsidR="00552497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或其委托人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。</w:t>
      </w:r>
    </w:p>
    <w:p w:rsidR="003577CC" w:rsidRPr="00471285" w:rsidRDefault="00471285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二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、专家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有下列情形之一的，应当回避。</w:t>
      </w:r>
    </w:p>
    <w:p w:rsidR="00471285" w:rsidRDefault="00471285" w:rsidP="004712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1、</w:t>
      </w:r>
      <w:r w:rsidR="003577CC" w:rsidRPr="00471285">
        <w:rPr>
          <w:rFonts w:ascii="仿宋" w:eastAsia="仿宋" w:hAnsi="仿宋" w:cs="仿宋" w:hint="eastAsia"/>
          <w:sz w:val="28"/>
          <w:szCs w:val="28"/>
        </w:rPr>
        <w:t>是职业病诊断鉴定当事人或者当事人近亲属的；</w:t>
      </w:r>
    </w:p>
    <w:p w:rsidR="00471285" w:rsidRDefault="00471285" w:rsidP="004712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3577CC" w:rsidRPr="00471285">
        <w:rPr>
          <w:rFonts w:ascii="仿宋" w:eastAsia="仿宋" w:hAnsi="仿宋" w:cs="仿宋" w:hint="eastAsia"/>
          <w:sz w:val="28"/>
          <w:szCs w:val="28"/>
        </w:rPr>
        <w:t>已参加当事人职业病诊断的；</w:t>
      </w:r>
    </w:p>
    <w:p w:rsidR="00471285" w:rsidRDefault="00471285" w:rsidP="004712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3577CC" w:rsidRPr="00471285">
        <w:rPr>
          <w:rFonts w:ascii="仿宋" w:eastAsia="仿宋" w:hAnsi="仿宋" w:cs="仿宋" w:hint="eastAsia"/>
          <w:sz w:val="28"/>
          <w:szCs w:val="28"/>
        </w:rPr>
        <w:t>与职业病诊断鉴定当事人有利害关系的；</w:t>
      </w:r>
    </w:p>
    <w:p w:rsidR="003577CC" w:rsidRPr="00471285" w:rsidRDefault="00471285" w:rsidP="004712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</w:t>
      </w:r>
      <w:r w:rsidR="003577CC" w:rsidRPr="00471285">
        <w:rPr>
          <w:rFonts w:ascii="仿宋" w:eastAsia="仿宋" w:hAnsi="仿宋" w:cs="仿宋" w:hint="eastAsia"/>
          <w:sz w:val="28"/>
          <w:szCs w:val="28"/>
        </w:rPr>
        <w:t>与职业病诊断鉴定当事人有其他关系，可能影响鉴定公正的</w:t>
      </w:r>
      <w:r w:rsidR="0025442E">
        <w:rPr>
          <w:rFonts w:ascii="仿宋" w:eastAsia="仿宋" w:hAnsi="仿宋" w:cs="仿宋" w:hint="eastAsia"/>
          <w:sz w:val="28"/>
          <w:szCs w:val="28"/>
        </w:rPr>
        <w:t>；</w:t>
      </w:r>
    </w:p>
    <w:p w:rsidR="0025442E" w:rsidRDefault="00471285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、</w:t>
      </w:r>
      <w:r w:rsidR="003577CC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当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事人</w:t>
      </w:r>
      <w:r w:rsidR="0025442E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因其他原因要求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回避的。</w:t>
      </w:r>
    </w:p>
    <w:p w:rsidR="004C201A" w:rsidRDefault="00471285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三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、</w:t>
      </w:r>
      <w:r w:rsidR="00552497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对</w:t>
      </w:r>
      <w:r w:rsidR="00BF4C10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符合要求的相应专业专家名单</w:t>
      </w:r>
      <w:r w:rsidR="00552497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进行随机编号，双方当事人或其委托人</w:t>
      </w:r>
      <w:r w:rsidR="00BF4C10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按照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随机</w:t>
      </w:r>
      <w:r w:rsidR="00BF4C10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的方法各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抽取</w:t>
      </w:r>
      <w:r w:rsidR="00BF4C10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2名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专家</w:t>
      </w:r>
      <w:r w:rsidR="00BF4C10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的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编号，最后一个专家</w:t>
      </w:r>
      <w:r w:rsidR="00BF4C10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编号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由</w:t>
      </w:r>
      <w:r w:rsidR="003577CC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职业病诊断鉴定委员会办公室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随机抽取。</w:t>
      </w:r>
    </w:p>
    <w:p w:rsidR="0025442E" w:rsidRDefault="004C201A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必要时，</w:t>
      </w:r>
      <w:r w:rsidRPr="004C201A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经当事人</w:t>
      </w:r>
      <w:r w:rsidR="00552497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或其委托人</w:t>
      </w:r>
      <w:r w:rsidRPr="004C201A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同意，职业病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诊断</w:t>
      </w:r>
      <w:r w:rsidRPr="004C201A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鉴定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委员会办公室</w:t>
      </w:r>
      <w:r w:rsidRPr="004C201A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可以根据鉴定需要聘请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云南省</w:t>
      </w:r>
      <w:r w:rsidRPr="004C201A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以外的相关专业专家作为鉴定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专家</w:t>
      </w:r>
      <w:r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lastRenderedPageBreak/>
        <w:t>组</w:t>
      </w:r>
      <w:r w:rsidRPr="004C201A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成员，并有表决权。</w:t>
      </w:r>
    </w:p>
    <w:p w:rsidR="0025442E" w:rsidRDefault="00471285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四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、双方当事人</w:t>
      </w:r>
      <w:r w:rsidR="00552497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或其委托人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还应各自随机抽取</w:t>
      </w:r>
      <w:r w:rsidR="00AE34CC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名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专家作为候补。</w:t>
      </w:r>
    </w:p>
    <w:p w:rsidR="0025442E" w:rsidRDefault="00471285" w:rsidP="00471285">
      <w:pPr>
        <w:ind w:firstLineChars="200" w:firstLine="560"/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</w:pP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五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、随机抽取结束后，</w:t>
      </w:r>
      <w:r w:rsidR="00AE34CC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昆明市职业病诊断鉴定委员会办公室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当场向双方当事人</w:t>
      </w:r>
      <w:r w:rsidR="00552497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或其委托人</w:t>
      </w:r>
      <w:r w:rsidR="00DD2264" w:rsidRPr="00471285">
        <w:rPr>
          <w:rFonts w:ascii="仿宋" w:eastAsia="仿宋" w:hAnsi="仿宋" w:cs="Tahoma"/>
          <w:color w:val="191717"/>
          <w:sz w:val="28"/>
          <w:szCs w:val="28"/>
          <w:bdr w:val="none" w:sz="0" w:space="0" w:color="auto" w:frame="1"/>
          <w:shd w:val="clear" w:color="auto" w:fill="FFFFFF"/>
        </w:rPr>
        <w:t>公布所抽取的专家组成员和候补成员的编号并记录在案。</w:t>
      </w:r>
    </w:p>
    <w:p w:rsidR="00145F40" w:rsidRPr="00471285" w:rsidRDefault="00471285" w:rsidP="0047128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六</w:t>
      </w:r>
      <w:r w:rsidR="00AE34CC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、昆明市职业病诊断鉴定委员会办公室按先正式后候补的顺序，</w:t>
      </w: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预约</w:t>
      </w:r>
      <w:r w:rsidR="00AE34CC"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专家参加鉴定会，对不能到会的专家，用候补专家替补，候补专家替补后，仍不能按规定组成专家组时，昆明市职业病诊断鉴定委员会办公室</w:t>
      </w: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在征得</w:t>
      </w:r>
      <w:r w:rsidR="00552497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双方当事人或其委托人</w:t>
      </w: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同意后，代为随机抽取</w:t>
      </w:r>
      <w:r w:rsidR="00065E91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所需差额</w:t>
      </w:r>
      <w:r w:rsidRPr="00471285">
        <w:rPr>
          <w:rFonts w:ascii="仿宋" w:eastAsia="仿宋" w:hAnsi="仿宋" w:cs="Tahoma" w:hint="eastAsia"/>
          <w:color w:val="191717"/>
          <w:sz w:val="28"/>
          <w:szCs w:val="28"/>
          <w:bdr w:val="none" w:sz="0" w:space="0" w:color="auto" w:frame="1"/>
          <w:shd w:val="clear" w:color="auto" w:fill="FFFFFF"/>
        </w:rPr>
        <w:t>鉴定专家，组成鉴定专家组。</w:t>
      </w:r>
      <w:bookmarkStart w:id="1" w:name="_GoBack"/>
      <w:bookmarkEnd w:id="1"/>
    </w:p>
    <w:sectPr w:rsidR="00145F40" w:rsidRPr="0047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2A6" w:rsidRDefault="002A42A6" w:rsidP="004C201A">
      <w:r>
        <w:separator/>
      </w:r>
    </w:p>
  </w:endnote>
  <w:endnote w:type="continuationSeparator" w:id="0">
    <w:p w:rsidR="002A42A6" w:rsidRDefault="002A42A6" w:rsidP="004C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2A6" w:rsidRDefault="002A42A6" w:rsidP="004C201A">
      <w:r>
        <w:separator/>
      </w:r>
    </w:p>
  </w:footnote>
  <w:footnote w:type="continuationSeparator" w:id="0">
    <w:p w:rsidR="002A42A6" w:rsidRDefault="002A42A6" w:rsidP="004C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264"/>
    <w:rsid w:val="00065E91"/>
    <w:rsid w:val="00145F40"/>
    <w:rsid w:val="0025442E"/>
    <w:rsid w:val="002A42A6"/>
    <w:rsid w:val="003577CC"/>
    <w:rsid w:val="003758B6"/>
    <w:rsid w:val="00471285"/>
    <w:rsid w:val="004C201A"/>
    <w:rsid w:val="00505E0A"/>
    <w:rsid w:val="00552497"/>
    <w:rsid w:val="005B4BF2"/>
    <w:rsid w:val="0068607F"/>
    <w:rsid w:val="007A51A8"/>
    <w:rsid w:val="007D732D"/>
    <w:rsid w:val="008E13B3"/>
    <w:rsid w:val="00AE34CC"/>
    <w:rsid w:val="00BF4C10"/>
    <w:rsid w:val="00DD2264"/>
    <w:rsid w:val="00E475FA"/>
    <w:rsid w:val="00F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1B78B"/>
  <w15:docId w15:val="{B86F05DF-FF69-4F5A-9372-445977ED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6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D22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22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2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D226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DD22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20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2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201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5249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5249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524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5249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524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249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52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620</Characters>
  <Application>Microsoft Office Word</Application>
  <DocSecurity>0</DocSecurity>
  <Lines>5</Lines>
  <Paragraphs>1</Paragraphs>
  <ScaleCrop>false</ScaleCrop>
  <Company> 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zjc</cp:lastModifiedBy>
  <cp:revision>4</cp:revision>
  <dcterms:created xsi:type="dcterms:W3CDTF">2019-12-03T03:20:00Z</dcterms:created>
  <dcterms:modified xsi:type="dcterms:W3CDTF">2019-12-04T02:48:00Z</dcterms:modified>
</cp:coreProperties>
</file>